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6469" w14:textId="20F40F7D" w:rsidR="00F144BE" w:rsidRDefault="00A44027" w:rsidP="00934040">
      <w:pPr>
        <w:pStyle w:val="Heading10"/>
        <w:framePr w:w="10723" w:h="342" w:hRule="exact" w:wrap="none" w:vAnchor="page" w:hAnchor="page" w:x="331" w:y="1591"/>
        <w:shd w:val="clear" w:color="auto" w:fill="auto"/>
        <w:spacing w:before="0" w:after="0" w:line="280" w:lineRule="exact"/>
        <w:ind w:left="580"/>
      </w:pPr>
      <w:bookmarkStart w:id="0" w:name="bookmark0"/>
      <w:r>
        <w:t xml:space="preserve">INFORMACJE </w:t>
      </w:r>
      <w:bookmarkEnd w:id="0"/>
      <w:r w:rsidR="00934040">
        <w:t>do przeprowadzenia testu</w:t>
      </w:r>
    </w:p>
    <w:p w14:paraId="252ADE99" w14:textId="77777777" w:rsidR="00F144BE" w:rsidRDefault="00A44027" w:rsidP="00934040">
      <w:pPr>
        <w:pStyle w:val="Bodytext30"/>
        <w:framePr w:w="10723" w:h="3556" w:hRule="exact" w:wrap="none" w:vAnchor="page" w:hAnchor="page" w:x="316" w:y="2461"/>
        <w:shd w:val="clear" w:color="auto" w:fill="auto"/>
        <w:spacing w:before="0" w:after="101" w:line="180" w:lineRule="exact"/>
        <w:ind w:left="120"/>
      </w:pPr>
      <w:r>
        <w:t>Inform</w:t>
      </w:r>
      <w:r>
        <w:t>acje ogólne:</w:t>
      </w:r>
    </w:p>
    <w:p w14:paraId="387A705A" w14:textId="41A2568A" w:rsidR="00F144BE" w:rsidRDefault="00A44027" w:rsidP="00934040">
      <w:pPr>
        <w:pStyle w:val="Tekstpodstawowy1"/>
        <w:framePr w:w="10723" w:h="3556" w:hRule="exact" w:wrap="none" w:vAnchor="page" w:hAnchor="page" w:x="316" w:y="2461"/>
        <w:numPr>
          <w:ilvl w:val="0"/>
          <w:numId w:val="1"/>
        </w:numPr>
        <w:shd w:val="clear" w:color="auto" w:fill="auto"/>
        <w:tabs>
          <w:tab w:val="left" w:pos="302"/>
        </w:tabs>
        <w:spacing w:before="0"/>
        <w:ind w:left="120" w:right="240"/>
      </w:pPr>
      <w:r>
        <w:t>Pakiet zawierający</w:t>
      </w:r>
      <w:r w:rsidR="00934040">
        <w:t>1</w:t>
      </w:r>
      <w:r>
        <w:t xml:space="preserve"> zestawów do samodzielnego poboru krwi włośniczkowej w postaci suchej kropli</w:t>
      </w:r>
      <w:r w:rsidR="00934040">
        <w:t>.</w:t>
      </w:r>
    </w:p>
    <w:p w14:paraId="6AA75A0B" w14:textId="73B68A7D" w:rsidR="00934040" w:rsidRDefault="00A44027" w:rsidP="00934040">
      <w:pPr>
        <w:pStyle w:val="Tekstpodstawowy1"/>
        <w:framePr w:w="10723" w:h="3556" w:hRule="exact" w:wrap="none" w:vAnchor="page" w:hAnchor="page" w:x="316" w:y="2461"/>
        <w:numPr>
          <w:ilvl w:val="0"/>
          <w:numId w:val="1"/>
        </w:numPr>
        <w:shd w:val="clear" w:color="auto" w:fill="auto"/>
        <w:tabs>
          <w:tab w:val="left" w:pos="298"/>
        </w:tabs>
        <w:spacing w:before="0" w:after="56" w:line="245" w:lineRule="exact"/>
        <w:ind w:left="120" w:right="600"/>
        <w:jc w:val="both"/>
      </w:pPr>
      <w:r>
        <w:t>P</w:t>
      </w:r>
      <w:r>
        <w:t xml:space="preserve">odstawą zlecenia badania jest wypełnienie formularza </w:t>
      </w:r>
      <w:r>
        <w:t>„Zleć badanie"</w:t>
      </w:r>
      <w:r w:rsidR="00934040">
        <w:t xml:space="preserve">, który trzeba zeskanować i odesłać do sklepu vegatestsklep.pl. </w:t>
      </w:r>
      <w:proofErr w:type="spellStart"/>
      <w:r w:rsidR="00934040">
        <w:t>Prubkę</w:t>
      </w:r>
      <w:proofErr w:type="spellEnd"/>
      <w:r w:rsidR="00934040">
        <w:t xml:space="preserve"> trzeba zapakować do woreczka strunowego i wysłać pocztą(koperta z adresem jest w zestawie).</w:t>
      </w:r>
    </w:p>
    <w:p w14:paraId="2A84B938" w14:textId="11EA756C" w:rsidR="00F144BE" w:rsidRDefault="00A44027" w:rsidP="00934040">
      <w:pPr>
        <w:pStyle w:val="Tekstpodstawowy1"/>
        <w:framePr w:w="10723" w:h="3556" w:hRule="exact" w:wrap="none" w:vAnchor="page" w:hAnchor="page" w:x="316" w:y="2461"/>
        <w:numPr>
          <w:ilvl w:val="0"/>
          <w:numId w:val="1"/>
        </w:numPr>
        <w:shd w:val="clear" w:color="auto" w:fill="auto"/>
        <w:tabs>
          <w:tab w:val="left" w:pos="298"/>
        </w:tabs>
        <w:spacing w:before="0" w:after="56" w:line="245" w:lineRule="exact"/>
        <w:ind w:left="120" w:right="600"/>
        <w:jc w:val="both"/>
      </w:pPr>
      <w:r>
        <w:rPr>
          <w:rStyle w:val="BodytextBoldSpacing0pt"/>
        </w:rPr>
        <w:t xml:space="preserve">Do momentu rejestracji internetowej próbka nie jest zakwalifikowana do analizy </w:t>
      </w:r>
      <w:r>
        <w:t>mimo iż często jest już fizycznie w laboratorium. Zaleca się aby rejestracja próbki i jej pobranie były prowadzone w tym sa</w:t>
      </w:r>
      <w:r>
        <w:t>mym czasie.</w:t>
      </w:r>
    </w:p>
    <w:p w14:paraId="40C2536A" w14:textId="09A8C320" w:rsidR="00F144BE" w:rsidRDefault="00A44027" w:rsidP="00934040">
      <w:pPr>
        <w:pStyle w:val="Tekstpodstawowy1"/>
        <w:framePr w:w="10723" w:h="3556" w:hRule="exact" w:wrap="none" w:vAnchor="page" w:hAnchor="page" w:x="316" w:y="2461"/>
        <w:numPr>
          <w:ilvl w:val="0"/>
          <w:numId w:val="1"/>
        </w:numPr>
        <w:shd w:val="clear" w:color="auto" w:fill="auto"/>
        <w:tabs>
          <w:tab w:val="left" w:pos="293"/>
        </w:tabs>
        <w:spacing w:before="0" w:after="112" w:line="245" w:lineRule="exact"/>
        <w:ind w:left="120" w:right="240"/>
      </w:pPr>
      <w:r>
        <w:t>Zlecający ma w systemie możliwość sprawdzenia daty przyjęcia materiału do laboratorium oraz statusu próbki</w:t>
      </w:r>
      <w:r w:rsidR="00934040">
        <w:t>.</w:t>
      </w:r>
    </w:p>
    <w:p w14:paraId="7A06DA94" w14:textId="6E629CD0" w:rsidR="00F144BE" w:rsidRDefault="00A44027" w:rsidP="00934040">
      <w:pPr>
        <w:pStyle w:val="Tekstpodstawowy1"/>
        <w:framePr w:w="10723" w:h="3556" w:hRule="exact" w:wrap="none" w:vAnchor="page" w:hAnchor="page" w:x="316" w:y="2461"/>
        <w:numPr>
          <w:ilvl w:val="0"/>
          <w:numId w:val="1"/>
        </w:numPr>
        <w:shd w:val="clear" w:color="auto" w:fill="auto"/>
        <w:tabs>
          <w:tab w:val="left" w:pos="293"/>
        </w:tabs>
        <w:spacing w:before="0" w:line="180" w:lineRule="exact"/>
        <w:ind w:left="120"/>
      </w:pPr>
      <w:r>
        <w:t xml:space="preserve">Wynik badania powinien być wydany w przeciągu </w:t>
      </w:r>
      <w:r w:rsidR="00934040">
        <w:t>10</w:t>
      </w:r>
      <w:r>
        <w:t xml:space="preserve"> dni roboczych od momentu przyjęcia ma</w:t>
      </w:r>
      <w:r>
        <w:t>teriału do laboratorium.</w:t>
      </w:r>
    </w:p>
    <w:p w14:paraId="73FC4E22" w14:textId="613999AD" w:rsidR="00F144BE" w:rsidRDefault="00F144BE" w:rsidP="00934040">
      <w:pPr>
        <w:pStyle w:val="Tekstpodstawowy1"/>
        <w:framePr w:w="10723" w:h="3556" w:hRule="exact" w:wrap="none" w:vAnchor="page" w:hAnchor="page" w:x="316" w:y="2461"/>
        <w:shd w:val="clear" w:color="auto" w:fill="auto"/>
        <w:spacing w:before="0" w:after="64" w:line="245" w:lineRule="exact"/>
        <w:ind w:left="120" w:right="600"/>
        <w:jc w:val="both"/>
      </w:pPr>
    </w:p>
    <w:p w14:paraId="314E5D9F" w14:textId="79C96619" w:rsidR="00F144BE" w:rsidRDefault="00A44027" w:rsidP="00934040">
      <w:pPr>
        <w:pStyle w:val="Tekstpodstawowy1"/>
        <w:framePr w:w="10723" w:h="3556" w:hRule="exact" w:wrap="none" w:vAnchor="page" w:hAnchor="page" w:x="316" w:y="2461"/>
        <w:numPr>
          <w:ilvl w:val="0"/>
          <w:numId w:val="1"/>
        </w:numPr>
        <w:shd w:val="clear" w:color="auto" w:fill="auto"/>
        <w:tabs>
          <w:tab w:val="left" w:pos="293"/>
        </w:tabs>
        <w:spacing w:before="0"/>
        <w:ind w:left="120" w:right="240"/>
      </w:pPr>
      <w:r>
        <w:t xml:space="preserve">Ze względu na wejście w życie ogólnego </w:t>
      </w:r>
      <w:r>
        <w:t>rozporządzenia o ochronie danych osobowych (RODO) prosimy o umieszczanie na bibule tylko kodu badania bez dodatkowych danych identyfikujących pacjenta.</w:t>
      </w:r>
    </w:p>
    <w:p w14:paraId="5629F8F0" w14:textId="77777777" w:rsidR="00934040" w:rsidRDefault="00934040" w:rsidP="00934040">
      <w:pPr>
        <w:pStyle w:val="Akapitzlist"/>
      </w:pPr>
    </w:p>
    <w:p w14:paraId="3E5ECEA2" w14:textId="77777777" w:rsidR="00934040" w:rsidRDefault="00934040" w:rsidP="00934040">
      <w:pPr>
        <w:pStyle w:val="Tekstpodstawowy1"/>
        <w:framePr w:w="10723" w:h="3556" w:hRule="exact" w:wrap="none" w:vAnchor="page" w:hAnchor="page" w:x="316" w:y="2461"/>
        <w:shd w:val="clear" w:color="auto" w:fill="auto"/>
        <w:tabs>
          <w:tab w:val="left" w:pos="293"/>
        </w:tabs>
        <w:spacing w:before="0"/>
        <w:ind w:right="240"/>
      </w:pPr>
    </w:p>
    <w:p w14:paraId="100AB32D" w14:textId="77777777" w:rsidR="00934040" w:rsidRDefault="00934040" w:rsidP="00934040">
      <w:pPr>
        <w:pStyle w:val="Bodytext30"/>
        <w:framePr w:w="10723" w:h="4661" w:hRule="exact" w:wrap="none" w:vAnchor="page" w:hAnchor="page" w:x="421" w:y="6391"/>
        <w:shd w:val="clear" w:color="auto" w:fill="auto"/>
        <w:spacing w:before="0" w:after="149" w:line="180" w:lineRule="exact"/>
        <w:ind w:left="120"/>
      </w:pPr>
      <w:r>
        <w:t>Kontrola jakości pobieranego materiału:</w:t>
      </w:r>
    </w:p>
    <w:p w14:paraId="05888BEF" w14:textId="77777777" w:rsidR="00934040" w:rsidRDefault="00934040" w:rsidP="00934040">
      <w:pPr>
        <w:pStyle w:val="Tekstpodstawowy1"/>
        <w:framePr w:w="10723" w:h="4661" w:hRule="exact" w:wrap="none" w:vAnchor="page" w:hAnchor="page" w:x="421" w:y="6391"/>
        <w:numPr>
          <w:ilvl w:val="0"/>
          <w:numId w:val="1"/>
        </w:numPr>
        <w:shd w:val="clear" w:color="auto" w:fill="auto"/>
        <w:tabs>
          <w:tab w:val="left" w:pos="293"/>
        </w:tabs>
        <w:spacing w:before="0" w:line="180" w:lineRule="exact"/>
        <w:ind w:left="120"/>
      </w:pPr>
      <w:r>
        <w:t>Należy zwracać uwagę na jakość pobieranego materiału. Kontrola polega na wizualnym sprawdzeniu wielkości</w:t>
      </w:r>
    </w:p>
    <w:p w14:paraId="626D0758" w14:textId="648B52F9" w:rsidR="00934040" w:rsidRDefault="00934040" w:rsidP="00934040">
      <w:pPr>
        <w:pStyle w:val="Tekstpodstawowy1"/>
        <w:framePr w:w="10723" w:h="4661" w:hRule="exact" w:wrap="none" w:vAnchor="page" w:hAnchor="page" w:x="421" w:y="6391"/>
        <w:shd w:val="clear" w:color="auto" w:fill="auto"/>
        <w:spacing w:before="0" w:after="56" w:line="235" w:lineRule="exact"/>
        <w:ind w:left="120" w:right="600"/>
        <w:jc w:val="both"/>
      </w:pPr>
      <w:r>
        <w:t>i przesączenia naniesionej na bibułę kropli krwi. Prawidłowo pobrana kropla krwi do wykonania pomiaru (min. 30 ni) powinna być wystarczająca do całkowitego przesączenia się na drugą stronę bibuły oraz zakrywać cała powierzchnię oznaczonego linia przerywaną pola. Do wykonania pomiaru wystarczą 2-3 duże plamy krwi (zajmujące całe pole testowe) lub jeżeli krople będą mniejsze to należy zebrać 4 na kolejne pola na bibule.</w:t>
      </w:r>
    </w:p>
    <w:p w14:paraId="0BBFABAA" w14:textId="77777777" w:rsidR="00934040" w:rsidRDefault="00934040" w:rsidP="00934040">
      <w:pPr>
        <w:pStyle w:val="Tekstpodstawowy1"/>
        <w:framePr w:w="10723" w:h="4661" w:hRule="exact" w:wrap="none" w:vAnchor="page" w:hAnchor="page" w:x="421" w:y="6391"/>
        <w:numPr>
          <w:ilvl w:val="0"/>
          <w:numId w:val="1"/>
        </w:numPr>
        <w:shd w:val="clear" w:color="auto" w:fill="auto"/>
        <w:tabs>
          <w:tab w:val="left" w:pos="298"/>
        </w:tabs>
        <w:spacing w:before="0" w:after="60"/>
        <w:ind w:left="120" w:right="600"/>
        <w:jc w:val="both"/>
      </w:pPr>
      <w:r>
        <w:t xml:space="preserve">Na jedno pole można nanieść </w:t>
      </w:r>
      <w:r w:rsidRPr="00934040">
        <w:rPr>
          <w:b/>
          <w:bCs/>
        </w:rPr>
        <w:t>tylko jedną kroplę</w:t>
      </w:r>
      <w:r>
        <w:t>, kilkukrotne nanoszenie krwi na pojedyncze pole może zmienić wynik pomiaru. Cała bibuła na takie same właściwości więc w razie potrzeby można nanosić materiał dookoła wyznaczonych pól i będzie on zdatny do analizy.</w:t>
      </w:r>
    </w:p>
    <w:p w14:paraId="73725F0D" w14:textId="77777777" w:rsidR="00934040" w:rsidRDefault="00934040" w:rsidP="00934040">
      <w:pPr>
        <w:pStyle w:val="Tekstpodstawowy1"/>
        <w:framePr w:w="10723" w:h="4661" w:hRule="exact" w:wrap="none" w:vAnchor="page" w:hAnchor="page" w:x="421" w:y="6391"/>
        <w:numPr>
          <w:ilvl w:val="0"/>
          <w:numId w:val="1"/>
        </w:numPr>
        <w:shd w:val="clear" w:color="auto" w:fill="auto"/>
        <w:tabs>
          <w:tab w:val="left" w:pos="288"/>
        </w:tabs>
        <w:spacing w:before="0" w:after="108"/>
        <w:ind w:left="120" w:right="240"/>
      </w:pPr>
      <w:r>
        <w:t>W przypadku alarmująco małej ilości materiału, niewystarczającej do wykonania pomiaru, badanie będzie od razu odrzucone, a klient będzie proszony o ponowne pobranie materiału pod nowym kodem badania.</w:t>
      </w:r>
    </w:p>
    <w:p w14:paraId="05B5697E" w14:textId="77777777" w:rsidR="00934040" w:rsidRPr="00934040" w:rsidRDefault="00934040" w:rsidP="00934040">
      <w:pPr>
        <w:pStyle w:val="Tekstpodstawowy1"/>
        <w:framePr w:w="10723" w:h="4661" w:hRule="exact" w:wrap="none" w:vAnchor="page" w:hAnchor="page" w:x="421" w:y="6391"/>
        <w:numPr>
          <w:ilvl w:val="0"/>
          <w:numId w:val="1"/>
        </w:numPr>
        <w:shd w:val="clear" w:color="auto" w:fill="auto"/>
        <w:tabs>
          <w:tab w:val="left" w:pos="288"/>
        </w:tabs>
        <w:spacing w:before="0" w:line="180" w:lineRule="exact"/>
        <w:ind w:left="120"/>
      </w:pPr>
      <w:r>
        <w:t>Materiał powinien być przesłany do laboratorium najpóźniej w ciągu 1 miesiąca od daty pobrania.</w:t>
      </w:r>
    </w:p>
    <w:p w14:paraId="233FF218" w14:textId="77777777" w:rsidR="00934040" w:rsidRDefault="00934040">
      <w:pPr>
        <w:pStyle w:val="Tekstpodstawowy1"/>
        <w:shd w:val="clear" w:color="auto" w:fill="auto"/>
        <w:tabs>
          <w:tab w:val="left" w:pos="288"/>
        </w:tabs>
        <w:spacing w:before="0" w:line="180" w:lineRule="exact"/>
        <w:ind w:left="120"/>
      </w:pPr>
    </w:p>
    <w:sectPr w:rsidR="0093404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1C1FB" w14:textId="77777777" w:rsidR="00A44027" w:rsidRDefault="00A44027">
      <w:r>
        <w:separator/>
      </w:r>
    </w:p>
  </w:endnote>
  <w:endnote w:type="continuationSeparator" w:id="0">
    <w:p w14:paraId="7B10E9A2" w14:textId="77777777" w:rsidR="00A44027" w:rsidRDefault="00A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407B" w14:textId="77777777" w:rsidR="00A44027" w:rsidRDefault="00A44027"/>
  </w:footnote>
  <w:footnote w:type="continuationSeparator" w:id="0">
    <w:p w14:paraId="17CE06DA" w14:textId="77777777" w:rsidR="00A44027" w:rsidRDefault="00A440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0119D"/>
    <w:multiLevelType w:val="multilevel"/>
    <w:tmpl w:val="B46AC6A0"/>
    <w:lvl w:ilvl="0">
      <w:start w:val="1"/>
      <w:numFmt w:val="bullet"/>
      <w:lvlText w:val="•"/>
      <w:lvlJc w:val="left"/>
      <w:rPr>
        <w:rFonts w:ascii="Segoe UI" w:eastAsia="Segoe UI" w:hAnsi="Segoe UI" w:cs="Segoe UI"/>
        <w:b w:val="0"/>
        <w:bCs w:val="0"/>
        <w:i w:val="0"/>
        <w:iCs w:val="0"/>
        <w:smallCaps w:val="0"/>
        <w:strike w:val="0"/>
        <w:color w:val="000000"/>
        <w:spacing w:val="-2"/>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BE"/>
    <w:rsid w:val="00934040"/>
    <w:rsid w:val="00A44027"/>
    <w:rsid w:val="00F14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BF69"/>
  <w15:docId w15:val="{6A464DD7-4E15-4D0D-A3D9-68006384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
    <w:name w:val="Body text (2)_"/>
    <w:basedOn w:val="Domylnaczcionkaakapitu"/>
    <w:link w:val="Bodytext20"/>
    <w:rPr>
      <w:rFonts w:ascii="Segoe UI" w:eastAsia="Segoe UI" w:hAnsi="Segoe UI" w:cs="Segoe UI"/>
      <w:b/>
      <w:bCs/>
      <w:i w:val="0"/>
      <w:iCs w:val="0"/>
      <w:smallCaps w:val="0"/>
      <w:strike w:val="0"/>
      <w:spacing w:val="2"/>
      <w:sz w:val="21"/>
      <w:szCs w:val="21"/>
      <w:u w:val="none"/>
    </w:rPr>
  </w:style>
  <w:style w:type="character" w:customStyle="1" w:styleId="Heading1">
    <w:name w:val="Heading #1_"/>
    <w:basedOn w:val="Domylnaczcionkaakapitu"/>
    <w:link w:val="Heading10"/>
    <w:rPr>
      <w:rFonts w:ascii="Segoe UI" w:eastAsia="Segoe UI" w:hAnsi="Segoe UI" w:cs="Segoe UI"/>
      <w:b/>
      <w:bCs/>
      <w:i w:val="0"/>
      <w:iCs w:val="0"/>
      <w:smallCaps w:val="0"/>
      <w:strike w:val="0"/>
      <w:spacing w:val="10"/>
      <w:sz w:val="28"/>
      <w:szCs w:val="28"/>
      <w:u w:val="none"/>
    </w:rPr>
  </w:style>
  <w:style w:type="character" w:customStyle="1" w:styleId="Bodytext3">
    <w:name w:val="Body text (3)_"/>
    <w:basedOn w:val="Domylnaczcionkaakapitu"/>
    <w:link w:val="Bodytext30"/>
    <w:rPr>
      <w:rFonts w:ascii="Segoe UI" w:eastAsia="Segoe UI" w:hAnsi="Segoe UI" w:cs="Segoe UI"/>
      <w:b/>
      <w:bCs/>
      <w:i w:val="0"/>
      <w:iCs w:val="0"/>
      <w:smallCaps w:val="0"/>
      <w:strike w:val="0"/>
      <w:spacing w:val="2"/>
      <w:sz w:val="18"/>
      <w:szCs w:val="18"/>
      <w:u w:val="none"/>
    </w:rPr>
  </w:style>
  <w:style w:type="character" w:customStyle="1" w:styleId="Bodytext">
    <w:name w:val="Body text_"/>
    <w:basedOn w:val="Domylnaczcionkaakapitu"/>
    <w:link w:val="Tekstpodstawowy1"/>
    <w:rPr>
      <w:rFonts w:ascii="Segoe UI" w:eastAsia="Segoe UI" w:hAnsi="Segoe UI" w:cs="Segoe UI"/>
      <w:b w:val="0"/>
      <w:bCs w:val="0"/>
      <w:i w:val="0"/>
      <w:iCs w:val="0"/>
      <w:smallCaps w:val="0"/>
      <w:strike w:val="0"/>
      <w:spacing w:val="-2"/>
      <w:sz w:val="18"/>
      <w:szCs w:val="18"/>
      <w:u w:val="none"/>
    </w:rPr>
  </w:style>
  <w:style w:type="character" w:customStyle="1" w:styleId="BodytextBoldSpacing0pt">
    <w:name w:val="Body text + Bold;Spacing 0 pt"/>
    <w:basedOn w:val="Bodytext"/>
    <w:rPr>
      <w:rFonts w:ascii="Segoe UI" w:eastAsia="Segoe UI" w:hAnsi="Segoe UI" w:cs="Segoe UI"/>
      <w:b/>
      <w:bCs/>
      <w:i w:val="0"/>
      <w:iCs w:val="0"/>
      <w:smallCaps w:val="0"/>
      <w:strike w:val="0"/>
      <w:color w:val="000000"/>
      <w:spacing w:val="2"/>
      <w:w w:val="100"/>
      <w:position w:val="0"/>
      <w:sz w:val="18"/>
      <w:szCs w:val="18"/>
      <w:u w:val="none"/>
      <w:lang w:val="pl-PL"/>
    </w:rPr>
  </w:style>
  <w:style w:type="paragraph" w:customStyle="1" w:styleId="Bodytext20">
    <w:name w:val="Body text (2)"/>
    <w:basedOn w:val="Normalny"/>
    <w:link w:val="Bodytext2"/>
    <w:pPr>
      <w:shd w:val="clear" w:color="auto" w:fill="FFFFFF"/>
      <w:spacing w:after="720" w:line="259" w:lineRule="exact"/>
      <w:jc w:val="right"/>
    </w:pPr>
    <w:rPr>
      <w:rFonts w:ascii="Segoe UI" w:eastAsia="Segoe UI" w:hAnsi="Segoe UI" w:cs="Segoe UI"/>
      <w:b/>
      <w:bCs/>
      <w:spacing w:val="2"/>
      <w:sz w:val="21"/>
      <w:szCs w:val="21"/>
    </w:rPr>
  </w:style>
  <w:style w:type="paragraph" w:customStyle="1" w:styleId="Heading10">
    <w:name w:val="Heading #1"/>
    <w:basedOn w:val="Normalny"/>
    <w:link w:val="Heading1"/>
    <w:pPr>
      <w:shd w:val="clear" w:color="auto" w:fill="FFFFFF"/>
      <w:spacing w:before="720" w:after="360" w:line="0" w:lineRule="atLeast"/>
      <w:jc w:val="center"/>
      <w:outlineLvl w:val="0"/>
    </w:pPr>
    <w:rPr>
      <w:rFonts w:ascii="Segoe UI" w:eastAsia="Segoe UI" w:hAnsi="Segoe UI" w:cs="Segoe UI"/>
      <w:b/>
      <w:bCs/>
      <w:spacing w:val="10"/>
      <w:sz w:val="28"/>
      <w:szCs w:val="28"/>
    </w:rPr>
  </w:style>
  <w:style w:type="paragraph" w:customStyle="1" w:styleId="Bodytext30">
    <w:name w:val="Body text (3)"/>
    <w:basedOn w:val="Normalny"/>
    <w:link w:val="Bodytext3"/>
    <w:pPr>
      <w:shd w:val="clear" w:color="auto" w:fill="FFFFFF"/>
      <w:spacing w:before="360" w:after="180" w:line="0" w:lineRule="atLeast"/>
    </w:pPr>
    <w:rPr>
      <w:rFonts w:ascii="Segoe UI" w:eastAsia="Segoe UI" w:hAnsi="Segoe UI" w:cs="Segoe UI"/>
      <w:b/>
      <w:bCs/>
      <w:spacing w:val="2"/>
      <w:sz w:val="18"/>
      <w:szCs w:val="18"/>
    </w:rPr>
  </w:style>
  <w:style w:type="paragraph" w:customStyle="1" w:styleId="Tekstpodstawowy1">
    <w:name w:val="Tekst podstawowy1"/>
    <w:basedOn w:val="Normalny"/>
    <w:link w:val="Bodytext"/>
    <w:pPr>
      <w:shd w:val="clear" w:color="auto" w:fill="FFFFFF"/>
      <w:spacing w:before="180" w:line="240" w:lineRule="exact"/>
    </w:pPr>
    <w:rPr>
      <w:rFonts w:ascii="Segoe UI" w:eastAsia="Segoe UI" w:hAnsi="Segoe UI" w:cs="Segoe UI"/>
      <w:spacing w:val="-2"/>
      <w:sz w:val="18"/>
      <w:szCs w:val="18"/>
    </w:rPr>
  </w:style>
  <w:style w:type="paragraph" w:styleId="Akapitzlist">
    <w:name w:val="List Paragraph"/>
    <w:basedOn w:val="Normalny"/>
    <w:uiPriority w:val="34"/>
    <w:qFormat/>
    <w:rsid w:val="0093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1831</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Sochaczewska</dc:creator>
  <cp:lastModifiedBy>Dorota Sochaczewska</cp:lastModifiedBy>
  <cp:revision>2</cp:revision>
  <dcterms:created xsi:type="dcterms:W3CDTF">2020-05-13T07:25:00Z</dcterms:created>
  <dcterms:modified xsi:type="dcterms:W3CDTF">2020-05-13T07:25:00Z</dcterms:modified>
</cp:coreProperties>
</file>